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color w:val="000000"/>
          <w:sz w:val="32"/>
          <w:szCs w:val="32"/>
          <w:lang w:val="zh-CN"/>
        </w:rPr>
      </w:pPr>
      <w:r>
        <w:rPr>
          <w:rFonts w:hint="eastAsia" w:ascii="黑体" w:hAnsi="黑体" w:eastAsia="黑体"/>
          <w:sz w:val="32"/>
          <w:szCs w:val="32"/>
          <w:lang w:val="zh-CN"/>
        </w:rPr>
        <w:t>附件1</w:t>
      </w:r>
    </w:p>
    <w:p>
      <w:pPr>
        <w:spacing w:line="600" w:lineRule="exact"/>
        <w:jc w:val="center"/>
        <w:rPr>
          <w:rFonts w:ascii="方正小标宋简体" w:eastAsia="方正小标宋简体" w:hAnsiTheme="majorEastAsia"/>
          <w:sz w:val="36"/>
          <w:szCs w:val="36"/>
          <w:lang w:val="zh-CN"/>
        </w:rPr>
      </w:pPr>
      <w:r>
        <w:rPr>
          <w:rFonts w:hint="eastAsia" w:ascii="方正小标宋简体" w:eastAsia="方正小标宋简体" w:hAnsiTheme="majorEastAsia"/>
          <w:color w:val="000000"/>
          <w:sz w:val="36"/>
          <w:szCs w:val="36"/>
          <w:lang w:val="zh-CN"/>
        </w:rPr>
        <w:t>西安财经</w:t>
      </w:r>
      <w:r>
        <w:rPr>
          <w:rFonts w:hint="eastAsia" w:ascii="方正小标宋简体" w:eastAsia="方正小标宋简体" w:hAnsiTheme="majorEastAsia"/>
          <w:color w:val="000000"/>
          <w:sz w:val="36"/>
          <w:szCs w:val="36"/>
        </w:rPr>
        <w:t>大学</w:t>
      </w:r>
      <w:r>
        <w:rPr>
          <w:rFonts w:hint="eastAsia" w:ascii="方正小标宋简体" w:eastAsia="方正小标宋简体" w:hAnsiTheme="majorEastAsia"/>
          <w:sz w:val="36"/>
          <w:szCs w:val="36"/>
          <w:lang w:val="zh-CN"/>
        </w:rPr>
        <w:t>201</w:t>
      </w:r>
      <w:r>
        <w:rPr>
          <w:rFonts w:hint="eastAsia" w:ascii="方正小标宋简体" w:eastAsia="方正小标宋简体" w:hAnsiTheme="majorEastAsia"/>
          <w:sz w:val="36"/>
          <w:szCs w:val="36"/>
        </w:rPr>
        <w:t>9</w:t>
      </w:r>
      <w:r>
        <w:rPr>
          <w:rFonts w:hint="eastAsia" w:ascii="方正小标宋简体" w:eastAsia="方正小标宋简体" w:hAnsiTheme="majorEastAsia"/>
          <w:sz w:val="36"/>
          <w:szCs w:val="36"/>
          <w:lang w:val="zh-CN"/>
        </w:rPr>
        <w:t>年春季</w:t>
      </w:r>
    </w:p>
    <w:p>
      <w:pPr>
        <w:spacing w:line="6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稳定</w:t>
      </w:r>
      <w:r>
        <w:rPr>
          <w:rFonts w:hint="eastAsia" w:ascii="方正小标宋简体" w:eastAsia="方正小标宋简体" w:hAnsiTheme="majorEastAsia"/>
          <w:sz w:val="36"/>
          <w:szCs w:val="36"/>
          <w:lang w:val="zh-CN"/>
        </w:rPr>
        <w:t>安全隐患自查</w:t>
      </w:r>
      <w:r>
        <w:rPr>
          <w:rFonts w:hint="eastAsia" w:ascii="方正小标宋简体" w:eastAsia="方正小标宋简体" w:hAnsiTheme="majorEastAsia"/>
          <w:sz w:val="36"/>
          <w:szCs w:val="36"/>
        </w:rPr>
        <w:t>内容与</w:t>
      </w:r>
      <w:r>
        <w:rPr>
          <w:rFonts w:hint="eastAsia" w:ascii="方正小标宋简体" w:eastAsia="方正小标宋简体" w:hAnsiTheme="majorEastAsia"/>
          <w:sz w:val="36"/>
          <w:szCs w:val="36"/>
          <w:lang w:val="zh-CN"/>
        </w:rPr>
        <w:t>整改</w:t>
      </w:r>
      <w:r>
        <w:rPr>
          <w:rFonts w:hint="eastAsia" w:ascii="方正小标宋简体" w:eastAsia="方正小标宋简体" w:hAnsiTheme="majorEastAsia"/>
          <w:sz w:val="36"/>
          <w:szCs w:val="36"/>
        </w:rPr>
        <w:t>要求</w:t>
      </w:r>
    </w:p>
    <w:p>
      <w:pPr>
        <w:spacing w:line="600" w:lineRule="exact"/>
        <w:jc w:val="center"/>
        <w:rPr>
          <w:rFonts w:ascii="仿宋_GB2312" w:eastAsia="仿宋_GB2312" w:hAnsiTheme="majorEastAsia"/>
          <w:b/>
          <w:sz w:val="32"/>
          <w:szCs w:val="32"/>
          <w:lang w:val="zh-CN"/>
        </w:rPr>
      </w:pPr>
    </w:p>
    <w:p>
      <w:pPr>
        <w:spacing w:beforeLines="50" w:afterLines="50" w:line="600" w:lineRule="exact"/>
        <w:ind w:firstLine="640" w:firstLineChars="200"/>
        <w:rPr>
          <w:rFonts w:ascii="黑体" w:hAnsi="黑体" w:eastAsia="黑体"/>
          <w:bCs/>
          <w:sz w:val="32"/>
          <w:szCs w:val="32"/>
        </w:rPr>
      </w:pPr>
      <w:r>
        <w:rPr>
          <w:rFonts w:hint="eastAsia" w:ascii="黑体" w:hAnsi="黑体" w:eastAsia="黑体"/>
          <w:bCs/>
          <w:sz w:val="32"/>
          <w:szCs w:val="32"/>
        </w:rPr>
        <w:t>一、稳定安全隐患自查范围</w:t>
      </w:r>
    </w:p>
    <w:p>
      <w:pPr>
        <w:spacing w:line="600" w:lineRule="exact"/>
        <w:ind w:firstLine="643" w:firstLineChars="200"/>
        <w:rPr>
          <w:rFonts w:ascii="仿宋_GB2312" w:eastAsia="仿宋_GB2312" w:hAnsiTheme="minorEastAsia"/>
          <w:sz w:val="32"/>
          <w:szCs w:val="32"/>
          <w:lang w:val="zh-CN"/>
        </w:rPr>
      </w:pPr>
      <w:r>
        <w:rPr>
          <w:rFonts w:hint="eastAsia" w:ascii="楷体" w:hAnsi="楷体" w:eastAsia="楷体"/>
          <w:b/>
          <w:bCs/>
          <w:sz w:val="32"/>
          <w:szCs w:val="32"/>
        </w:rPr>
        <w:t>1.</w:t>
      </w:r>
      <w:r>
        <w:rPr>
          <w:rFonts w:hint="eastAsia" w:ascii="楷体" w:hAnsi="楷体" w:eastAsia="楷体"/>
          <w:b/>
          <w:sz w:val="32"/>
          <w:szCs w:val="32"/>
          <w:lang w:val="zh-CN"/>
        </w:rPr>
        <w:t>稳定安全与应急处突工作机制。</w:t>
      </w:r>
      <w:r>
        <w:rPr>
          <w:rFonts w:hint="eastAsia" w:ascii="仿宋_GB2312" w:eastAsia="仿宋_GB2312" w:hAnsiTheme="minorEastAsia"/>
          <w:sz w:val="32"/>
          <w:szCs w:val="32"/>
          <w:lang w:val="zh-CN"/>
        </w:rPr>
        <w:t>包括：稳定安全领导组织机制、意识形态阵地管理与防渗透管控机制、矛盾纠纷排查调处化解机制、稳定安全预警与应急处置机制、重大决策风险评估机制是否完善，安全责任是否落实以及相关应急预案的演练，安全宣传教育进课堂效果等。</w:t>
      </w:r>
    </w:p>
    <w:p>
      <w:pPr>
        <w:spacing w:line="600" w:lineRule="exact"/>
        <w:ind w:firstLine="643" w:firstLineChars="200"/>
        <w:rPr>
          <w:rFonts w:ascii="仿宋_GB2312" w:eastAsia="仿宋_GB2312" w:hAnsiTheme="minorEastAsia"/>
          <w:sz w:val="32"/>
          <w:szCs w:val="32"/>
          <w:lang w:val="zh-CN"/>
        </w:rPr>
      </w:pPr>
      <w:r>
        <w:rPr>
          <w:rFonts w:hint="eastAsia" w:ascii="楷体" w:hAnsi="楷体" w:eastAsia="楷体"/>
          <w:b/>
          <w:sz w:val="32"/>
          <w:szCs w:val="32"/>
          <w:lang w:val="zh-CN"/>
        </w:rPr>
        <w:t>2.矛盾纠纷隐患调处与化解。</w:t>
      </w:r>
      <w:r>
        <w:rPr>
          <w:rFonts w:hint="eastAsia" w:ascii="仿宋_GB2312" w:eastAsia="仿宋_GB2312" w:hAnsiTheme="minorEastAsia"/>
          <w:bCs/>
          <w:sz w:val="32"/>
          <w:szCs w:val="32"/>
        </w:rPr>
        <w:t>是否按照《西安财经学院关于进一步加强涉校矛盾纠纷排查调处工作的实施意见》（西财党发〔2017〕50号）、《西安财经学院涉校矛盾纠纷排查调处工作管理办法》（西财党发〔2017〕51号）要求，建立完善本单位校园矛盾纠纷排查调解机制，定期排查、调解</w:t>
      </w:r>
      <w:r>
        <w:rPr>
          <w:rFonts w:hint="eastAsia" w:ascii="仿宋_GB2312" w:eastAsia="仿宋_GB2312" w:hAnsiTheme="minorEastAsia"/>
          <w:sz w:val="32"/>
          <w:szCs w:val="32"/>
          <w:lang w:val="zh-CN"/>
        </w:rPr>
        <w:t>部门业务范围内、教职工内部、学生群体间发生的可能引发校园稳定与重大治安问题以及群体性事件的矛盾纠纷隐患。</w:t>
      </w:r>
    </w:p>
    <w:p>
      <w:pPr>
        <w:spacing w:line="600" w:lineRule="exact"/>
        <w:ind w:firstLine="630" w:firstLineChars="196"/>
        <w:rPr>
          <w:rFonts w:ascii="仿宋_GB2312" w:eastAsia="仿宋_GB2312" w:hAnsiTheme="minorEastAsia"/>
          <w:bCs/>
          <w:sz w:val="32"/>
          <w:szCs w:val="32"/>
        </w:rPr>
      </w:pPr>
      <w:r>
        <w:rPr>
          <w:rFonts w:hint="eastAsia" w:ascii="楷体" w:hAnsi="楷体" w:eastAsia="楷体"/>
          <w:b/>
          <w:bCs/>
          <w:sz w:val="32"/>
          <w:szCs w:val="32"/>
        </w:rPr>
        <w:t>3.校园消防安全。</w:t>
      </w:r>
      <w:r>
        <w:rPr>
          <w:rFonts w:hint="eastAsia" w:ascii="仿宋_GB2312" w:eastAsia="仿宋_GB2312" w:hAnsiTheme="minorEastAsia"/>
          <w:bCs/>
          <w:sz w:val="32"/>
          <w:szCs w:val="32"/>
        </w:rPr>
        <w:t>包括：防火安全制度是否完善，消防通道是否安全、畅通，消防设施和设备是否齐全、有效；防火间距、消防车通道、消防水源是否到位等。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4.校园大型设备、重要设施、水电气暖管网线路安全。</w:t>
      </w:r>
      <w:r>
        <w:rPr>
          <w:rFonts w:hint="eastAsia" w:ascii="仿宋_GB2312" w:eastAsia="仿宋_GB2312" w:hAnsiTheme="minorEastAsia"/>
          <w:bCs/>
          <w:sz w:val="32"/>
          <w:szCs w:val="32"/>
        </w:rPr>
        <w:t>包括：锅炉、电梯、压力容器等设备管理的岗位责任、操作流程、应急措施是否完善；是否建立安全技术和使用维护档案，即时记录日常使用运行情况，做到定期维护保养；校园内电网、天然气管道、自来水管道、暖气管道等基础设施是否符合国家有关安全标准；安全管理人员、检测人员和作业人员是否按规定进行安全教育和技能培训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5.校园楼宇建筑、道路安全。</w:t>
      </w:r>
      <w:r>
        <w:rPr>
          <w:rFonts w:hint="eastAsia" w:ascii="仿宋_GB2312" w:eastAsia="仿宋_GB2312" w:hAnsiTheme="minorEastAsia"/>
          <w:bCs/>
          <w:sz w:val="32"/>
          <w:szCs w:val="32"/>
        </w:rPr>
        <w:t>包括：教学楼、办公楼、教师公寓、学生公寓、食堂、实验室、教室、图书馆、报告厅、运动场等人群密集场所的建筑结构是否安全；疏散标志标识、应急照明、安全通道是否清晰、通畅；是否存在使用违章电器、私拉乱拉电气线路，电气线路是否有老化迹象；校园道路、交通标识、车辆停放是否清晰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6.校园及周边综合治理安全。</w:t>
      </w:r>
      <w:r>
        <w:rPr>
          <w:rFonts w:hint="eastAsia" w:ascii="仿宋_GB2312" w:eastAsia="仿宋_GB2312" w:hAnsiTheme="minorEastAsia"/>
          <w:bCs/>
          <w:sz w:val="32"/>
          <w:szCs w:val="32"/>
        </w:rPr>
        <w:t>包括：门禁管理、校园巡查制度是否健全；流动人口管理和教育是否科学有效；学校重点区域、重点部位、重要通道等视频监控是否达到全覆盖并保证正常运转等。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7.校园危化品、易燃易爆品安全。</w:t>
      </w:r>
      <w:r>
        <w:rPr>
          <w:rFonts w:hint="eastAsia" w:ascii="仿宋_GB2312" w:eastAsia="仿宋_GB2312" w:hAnsiTheme="minorEastAsia"/>
          <w:bCs/>
          <w:sz w:val="32"/>
          <w:szCs w:val="32"/>
        </w:rPr>
        <w:t>包括：实验研究场所、教学实验室、实验用品仓库以及校医院、食堂等涉及重点危化品和易燃易爆物品区域的操作是否规范；有毒、有害实验品和易燃易爆物品的生产、购买、登记、储存、领取、使用、废弃品处置备案等制度是否能够贯彻落实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8.校园经营场所安全。</w:t>
      </w:r>
      <w:r>
        <w:rPr>
          <w:rFonts w:hint="eastAsia" w:ascii="仿宋_GB2312" w:eastAsia="仿宋_GB2312" w:hAnsiTheme="minorEastAsia"/>
          <w:bCs/>
          <w:sz w:val="32"/>
          <w:szCs w:val="32"/>
        </w:rPr>
        <w:t>包括：学校商业出租房（尤其是学生公寓楼宇底层商铺）经营范围是否符合规定，有无商业类“三合一”商铺(即“经营、居住、生活”三合一的民用建筑商铺)；校园内各类经营场所是否符合相关安全规定等。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9.校园食品卫生安全。</w:t>
      </w:r>
      <w:r>
        <w:rPr>
          <w:rFonts w:hint="eastAsia" w:ascii="仿宋_GB2312" w:eastAsia="仿宋_GB2312" w:hAnsiTheme="minorEastAsia"/>
          <w:bCs/>
          <w:sz w:val="32"/>
          <w:szCs w:val="32"/>
        </w:rPr>
        <w:t>包括：学校食堂、食品店、超市、露天经营摊点的食品卫生及环境卫生是否符合标准和要求；所销售的食品来源是否符合规定，有无变质产品；从业人员是否具备健康证并按规定着装；经营场所是否符合卫生要求；各类食品卫生、饮用水卫生以及传染病防治管理工作是否严格落实了国家食品卫生管理规章制度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10.校园医疗卫生安全。</w:t>
      </w:r>
      <w:r>
        <w:rPr>
          <w:rFonts w:hint="eastAsia" w:ascii="仿宋_GB2312" w:eastAsia="仿宋_GB2312" w:hAnsiTheme="minorEastAsia"/>
          <w:bCs/>
          <w:sz w:val="32"/>
          <w:szCs w:val="32"/>
        </w:rPr>
        <w:t>包括：特殊药品、药剂与医疗器械保管是否安全；传染病防控、追踪机制是否健全等。</w:t>
      </w:r>
    </w:p>
    <w:p>
      <w:pPr>
        <w:spacing w:line="600" w:lineRule="exact"/>
        <w:ind w:firstLine="630" w:firstLineChars="196"/>
        <w:rPr>
          <w:rFonts w:ascii="仿宋_GB2312" w:eastAsia="仿宋_GB2312" w:hAnsiTheme="minorEastAsia"/>
          <w:bCs/>
          <w:sz w:val="32"/>
          <w:szCs w:val="32"/>
        </w:rPr>
      </w:pPr>
      <w:r>
        <w:rPr>
          <w:rFonts w:hint="eastAsia" w:ascii="楷体" w:hAnsi="楷体" w:eastAsia="楷体"/>
          <w:b/>
          <w:bCs/>
          <w:sz w:val="32"/>
          <w:szCs w:val="32"/>
        </w:rPr>
        <w:t>11.校车安全。</w:t>
      </w:r>
      <w:r>
        <w:rPr>
          <w:rFonts w:hint="eastAsia" w:ascii="仿宋_GB2312" w:eastAsia="仿宋_GB2312" w:hAnsiTheme="minorEastAsia"/>
          <w:bCs/>
          <w:sz w:val="32"/>
          <w:szCs w:val="32"/>
        </w:rPr>
        <w:t>包括：是否严格执行校车安全管理责任制度、校车定期检验制度等校车管理制度；是否存在校车违规超载、危险驾驶，驾驶员资质不全等情况。</w:t>
      </w:r>
    </w:p>
    <w:p>
      <w:pPr>
        <w:spacing w:line="600" w:lineRule="exact"/>
        <w:ind w:firstLine="630" w:firstLineChars="196"/>
        <w:rPr>
          <w:rFonts w:ascii="仿宋_GB2312" w:eastAsia="仿宋_GB2312" w:hAnsiTheme="minorEastAsia"/>
          <w:bCs/>
          <w:sz w:val="32"/>
          <w:szCs w:val="32"/>
        </w:rPr>
      </w:pPr>
      <w:r>
        <w:rPr>
          <w:rFonts w:hint="eastAsia" w:ascii="楷体" w:hAnsi="楷体" w:eastAsia="楷体"/>
          <w:b/>
          <w:bCs/>
          <w:sz w:val="32"/>
          <w:szCs w:val="32"/>
        </w:rPr>
        <w:t>12.校园基建工程安全。</w:t>
      </w:r>
      <w:r>
        <w:rPr>
          <w:rFonts w:hint="eastAsia" w:ascii="仿宋_GB2312" w:eastAsia="仿宋_GB2312" w:hAnsiTheme="minorEastAsia"/>
          <w:bCs/>
          <w:sz w:val="32"/>
          <w:szCs w:val="32"/>
        </w:rPr>
        <w:t>包括：校园内施工工程单位是否切实履行建设单位职责，履行建设程序；施工单位对易发生重大事故的关键部位和关键环节是否能够采取安全防护措施并有效落实；施工区与教学区隔离防护、进出料通道的安全措施是否能够有效落实；施工现场流动人员管理及临建设施管理是否严格等。</w:t>
      </w:r>
    </w:p>
    <w:p>
      <w:pPr>
        <w:spacing w:line="600" w:lineRule="exact"/>
        <w:ind w:firstLine="630" w:firstLineChars="196"/>
        <w:rPr>
          <w:rFonts w:ascii="仿宋_GB2312" w:eastAsia="仿宋_GB2312" w:hAnsiTheme="minorEastAsia"/>
          <w:bCs/>
          <w:sz w:val="32"/>
          <w:szCs w:val="32"/>
        </w:rPr>
      </w:pPr>
      <w:r>
        <w:rPr>
          <w:rFonts w:hint="eastAsia" w:ascii="楷体" w:hAnsi="楷体" w:eastAsia="楷体"/>
          <w:b/>
          <w:bCs/>
          <w:sz w:val="32"/>
          <w:szCs w:val="32"/>
        </w:rPr>
        <w:t>13.校园网络及各类信息平台安全。</w:t>
      </w:r>
      <w:r>
        <w:rPr>
          <w:rFonts w:hint="eastAsia" w:ascii="仿宋_GB2312" w:eastAsia="仿宋_GB2312" w:hAnsiTheme="minorEastAsia"/>
          <w:bCs/>
          <w:sz w:val="32"/>
          <w:szCs w:val="32"/>
        </w:rPr>
        <w:t>包括是否建立严格的网络安全管理制度；能否有效防范反动、色情、暴力等不良信息的传播；能否有效防止不法分子利用学校网络管理漏洞自动转发不法邮件或进行其他破坏信息安全的非法活动等。</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14.学生日常管理和安全教育。</w:t>
      </w:r>
      <w:r>
        <w:rPr>
          <w:rFonts w:hint="eastAsia" w:ascii="仿宋_GB2312" w:eastAsia="仿宋_GB2312" w:hAnsiTheme="minorEastAsia"/>
          <w:bCs/>
          <w:sz w:val="32"/>
          <w:szCs w:val="32"/>
        </w:rPr>
        <w:t>包括：加强学生安全教育，及时掌握学生外出、返校信息，掌握未返校学生具体情况，详细了解学生在外租房情况；全面排查大学生网贷情况；强化特殊群体学生管理，对学生学习生活情况进行摸排，及时帮助困难学生；杜绝学生在校园内从事宗教及组织违法活动。</w:t>
      </w:r>
    </w:p>
    <w:p>
      <w:pPr>
        <w:spacing w:line="600" w:lineRule="exact"/>
        <w:ind w:firstLine="643" w:firstLineChars="200"/>
        <w:rPr>
          <w:rFonts w:ascii="仿宋_GB2312" w:eastAsia="仿宋_GB2312" w:hAnsiTheme="minorEastAsia"/>
          <w:bCs/>
          <w:sz w:val="32"/>
          <w:szCs w:val="32"/>
        </w:rPr>
      </w:pPr>
      <w:r>
        <w:rPr>
          <w:rFonts w:hint="eastAsia" w:ascii="楷体" w:hAnsi="楷体" w:eastAsia="楷体"/>
          <w:b/>
          <w:bCs/>
          <w:sz w:val="32"/>
          <w:szCs w:val="32"/>
        </w:rPr>
        <w:t>15.</w:t>
      </w:r>
      <w:r>
        <w:rPr>
          <w:rFonts w:hint="eastAsia" w:ascii="仿宋_GB2312" w:eastAsia="仿宋_GB2312" w:hAnsiTheme="minorEastAsia"/>
          <w:bCs/>
          <w:sz w:val="32"/>
          <w:szCs w:val="32"/>
        </w:rPr>
        <w:t>其他认为必须进行安全检查的部位或场所。</w:t>
      </w:r>
    </w:p>
    <w:p>
      <w:pPr>
        <w:spacing w:beforeLines="50" w:afterLines="50" w:line="600" w:lineRule="exact"/>
        <w:ind w:firstLine="640" w:firstLineChars="200"/>
        <w:rPr>
          <w:rFonts w:ascii="黑体" w:hAnsi="黑体" w:eastAsia="黑体"/>
          <w:sz w:val="32"/>
          <w:szCs w:val="32"/>
          <w:lang w:val="zh-CN"/>
        </w:rPr>
      </w:pPr>
      <w:r>
        <w:rPr>
          <w:rFonts w:hint="eastAsia" w:ascii="黑体" w:hAnsi="黑体" w:eastAsia="黑体"/>
          <w:sz w:val="32"/>
          <w:szCs w:val="32"/>
          <w:lang w:val="zh-CN"/>
        </w:rPr>
        <w:t>二、整改要求</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各部门应根据自查内容，在充分开展自查的基础上，列出问题清单，形成整改方案，明确整改措施。</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1.整改方案应包含以下内容：</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（1）整改的目标和任务。</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（2）整改的方法和措施。</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（3）整改经费和物资的落实。</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（4）负责整改的单位和人员。</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（5）整改的标准和时限。</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（6）整改期间的安全防范措施和应急处置预案。</w:t>
      </w:r>
    </w:p>
    <w:p>
      <w:pPr>
        <w:spacing w:line="600" w:lineRule="exact"/>
        <w:ind w:firstLine="643" w:firstLineChars="200"/>
        <w:rPr>
          <w:rFonts w:ascii="楷体" w:hAnsi="楷体" w:eastAsia="楷体"/>
          <w:b/>
          <w:bCs/>
          <w:sz w:val="32"/>
          <w:szCs w:val="32"/>
        </w:rPr>
      </w:pPr>
      <w:r>
        <w:rPr>
          <w:rFonts w:hint="eastAsia" w:ascii="楷体" w:hAnsi="楷体" w:eastAsia="楷体"/>
          <w:b/>
          <w:bCs/>
          <w:sz w:val="32"/>
          <w:szCs w:val="32"/>
        </w:rPr>
        <w:t>2.整改措施可酌情采取以下内容：</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（1）建立健全和修订各项安全管理制度，弥补安全管理上的缺陷。</w:t>
      </w:r>
    </w:p>
    <w:p>
      <w:pPr>
        <w:spacing w:line="600" w:lineRule="exact"/>
        <w:ind w:firstLine="640" w:firstLineChars="200"/>
        <w:rPr>
          <w:rFonts w:ascii="仿宋_GB2312" w:eastAsia="仿宋_GB2312" w:hAnsiTheme="minorEastAsia"/>
          <w:b/>
          <w:sz w:val="32"/>
          <w:szCs w:val="32"/>
          <w:lang w:val="zh-CN"/>
        </w:rPr>
      </w:pPr>
      <w:r>
        <w:rPr>
          <w:rFonts w:hint="eastAsia" w:ascii="仿宋_GB2312" w:eastAsia="仿宋_GB2312" w:hAnsiTheme="minorEastAsia"/>
          <w:sz w:val="32"/>
          <w:szCs w:val="32"/>
          <w:lang w:val="zh-CN"/>
        </w:rPr>
        <w:t>（2）对排查发现的本单位或业务范围内涉及的矛盾纠纷隐患及时开展调处、化解工作。</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（3）严格落实各项安全管理规章制度、技术规范和操作规程。</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（4）按相应技术规范和标准，配齐安全防范设施和器材，维修、加固和整治隐患部位。</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（5）加强安全宣传教育与培训，强化安全考核和奖惩措施，纠正人的不安全行为。</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（6）加强管理，明确相应措施。</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（7）安排专人负责协调相关隐患部位的维护、维修、加固等工作，推进并落实相应整改工作。</w:t>
      </w:r>
    </w:p>
    <w:p>
      <w:pPr>
        <w:spacing w:line="600" w:lineRule="exact"/>
        <w:ind w:firstLine="640" w:firstLineChars="200"/>
        <w:rPr>
          <w:rFonts w:ascii="仿宋_GB2312" w:eastAsia="仿宋_GB2312" w:hAnsiTheme="minorEastAsia"/>
          <w:sz w:val="32"/>
          <w:szCs w:val="32"/>
          <w:lang w:val="zh-CN"/>
        </w:rPr>
      </w:pPr>
      <w:r>
        <w:rPr>
          <w:rFonts w:hint="eastAsia" w:ascii="仿宋_GB2312" w:eastAsia="仿宋_GB2312" w:hAnsiTheme="minorEastAsia"/>
          <w:sz w:val="32"/>
          <w:szCs w:val="32"/>
          <w:lang w:val="zh-CN"/>
        </w:rPr>
        <w:t>（8）对相关责任人问责。</w:t>
      </w:r>
    </w:p>
    <w:p>
      <w:pPr>
        <w:rPr>
          <w:sz w:val="24"/>
          <w:szCs w:val="24"/>
        </w:rPr>
        <w:sectPr>
          <w:footerReference r:id="rId3" w:type="default"/>
          <w:pgSz w:w="11906" w:h="16838"/>
          <w:pgMar w:top="1985" w:right="1474" w:bottom="1701" w:left="1588" w:header="851" w:footer="992" w:gutter="0"/>
          <w:pgNumType w:fmt="numberInDash"/>
          <w:cols w:space="425" w:num="1"/>
          <w:titlePg/>
          <w:docGrid w:type="lines" w:linePitch="312" w:charSpace="0"/>
        </w:sectPr>
      </w:pPr>
      <w:bookmarkStart w:id="0" w:name="_GoBack"/>
      <w:bookmarkEnd w:id="0"/>
    </w:p>
    <w:p>
      <w:pPr>
        <w:rPr>
          <w:szCs w:val="21"/>
        </w:rPr>
      </w:pPr>
    </w:p>
    <w:sect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86867"/>
    </w:sdtPr>
    <w:sdtContent>
      <w:p>
        <w:pPr>
          <w:pStyle w:val="4"/>
          <w:jc w:val="center"/>
        </w:pPr>
        <w:r>
          <w:fldChar w:fldCharType="begin"/>
        </w:r>
        <w:r>
          <w:instrText xml:space="preserve"> PAGE   \* MERGEFORMAT </w:instrText>
        </w:r>
        <w:r>
          <w:fldChar w:fldCharType="separate"/>
        </w:r>
        <w:r>
          <w:rPr>
            <w:lang w:val="zh-CN"/>
          </w:rPr>
          <w:t>-</w:t>
        </w:r>
        <w:r>
          <w:t xml:space="preserve"> 10 -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9FD"/>
    <w:rsid w:val="00054FFC"/>
    <w:rsid w:val="00077FD2"/>
    <w:rsid w:val="00087B9B"/>
    <w:rsid w:val="0009033B"/>
    <w:rsid w:val="00113586"/>
    <w:rsid w:val="00123486"/>
    <w:rsid w:val="00130497"/>
    <w:rsid w:val="0014521E"/>
    <w:rsid w:val="00162073"/>
    <w:rsid w:val="00180803"/>
    <w:rsid w:val="00183F1A"/>
    <w:rsid w:val="0019137F"/>
    <w:rsid w:val="00193B1D"/>
    <w:rsid w:val="001A52C2"/>
    <w:rsid w:val="001C5E1D"/>
    <w:rsid w:val="001D623D"/>
    <w:rsid w:val="00236352"/>
    <w:rsid w:val="00255985"/>
    <w:rsid w:val="002727A1"/>
    <w:rsid w:val="0028284B"/>
    <w:rsid w:val="002D4BC9"/>
    <w:rsid w:val="002F1557"/>
    <w:rsid w:val="00330B10"/>
    <w:rsid w:val="00332478"/>
    <w:rsid w:val="003346EB"/>
    <w:rsid w:val="00342E3D"/>
    <w:rsid w:val="00361DF6"/>
    <w:rsid w:val="00363F79"/>
    <w:rsid w:val="00391711"/>
    <w:rsid w:val="003A2198"/>
    <w:rsid w:val="003B6FA1"/>
    <w:rsid w:val="003C5A4A"/>
    <w:rsid w:val="00401322"/>
    <w:rsid w:val="00411BFA"/>
    <w:rsid w:val="00413028"/>
    <w:rsid w:val="004133F9"/>
    <w:rsid w:val="00473C35"/>
    <w:rsid w:val="004A05B9"/>
    <w:rsid w:val="004A46B0"/>
    <w:rsid w:val="004B3A2F"/>
    <w:rsid w:val="004D11A7"/>
    <w:rsid w:val="004D4433"/>
    <w:rsid w:val="005043CF"/>
    <w:rsid w:val="0052051B"/>
    <w:rsid w:val="005518C3"/>
    <w:rsid w:val="005534A2"/>
    <w:rsid w:val="00563DEF"/>
    <w:rsid w:val="00567B43"/>
    <w:rsid w:val="0057579F"/>
    <w:rsid w:val="005A148B"/>
    <w:rsid w:val="005C723F"/>
    <w:rsid w:val="005D1074"/>
    <w:rsid w:val="005E790C"/>
    <w:rsid w:val="00602B52"/>
    <w:rsid w:val="006060CB"/>
    <w:rsid w:val="00636A76"/>
    <w:rsid w:val="00653568"/>
    <w:rsid w:val="00673ED9"/>
    <w:rsid w:val="00691864"/>
    <w:rsid w:val="006C07BC"/>
    <w:rsid w:val="006C6FD7"/>
    <w:rsid w:val="006D3085"/>
    <w:rsid w:val="006E48F0"/>
    <w:rsid w:val="00763A3C"/>
    <w:rsid w:val="00764B68"/>
    <w:rsid w:val="00790F3C"/>
    <w:rsid w:val="007A36C3"/>
    <w:rsid w:val="007A4DCE"/>
    <w:rsid w:val="007A6A0D"/>
    <w:rsid w:val="007B48F8"/>
    <w:rsid w:val="007C6BD7"/>
    <w:rsid w:val="007E240F"/>
    <w:rsid w:val="007F04CB"/>
    <w:rsid w:val="007F18A3"/>
    <w:rsid w:val="00807920"/>
    <w:rsid w:val="008657B9"/>
    <w:rsid w:val="00874EF5"/>
    <w:rsid w:val="008910B1"/>
    <w:rsid w:val="008A1A66"/>
    <w:rsid w:val="008C1942"/>
    <w:rsid w:val="008E3D79"/>
    <w:rsid w:val="00916814"/>
    <w:rsid w:val="00936651"/>
    <w:rsid w:val="009410D0"/>
    <w:rsid w:val="0094123D"/>
    <w:rsid w:val="00945B84"/>
    <w:rsid w:val="00980FB4"/>
    <w:rsid w:val="00981B91"/>
    <w:rsid w:val="009A3F39"/>
    <w:rsid w:val="009D0609"/>
    <w:rsid w:val="009D2C52"/>
    <w:rsid w:val="00A54A52"/>
    <w:rsid w:val="00A95A0B"/>
    <w:rsid w:val="00AC652F"/>
    <w:rsid w:val="00AD247F"/>
    <w:rsid w:val="00AD6C0A"/>
    <w:rsid w:val="00AD7BDF"/>
    <w:rsid w:val="00AE4866"/>
    <w:rsid w:val="00AF7542"/>
    <w:rsid w:val="00B00EE9"/>
    <w:rsid w:val="00B321E9"/>
    <w:rsid w:val="00B33A9F"/>
    <w:rsid w:val="00B458D1"/>
    <w:rsid w:val="00B54F78"/>
    <w:rsid w:val="00B91DCA"/>
    <w:rsid w:val="00BB4B0C"/>
    <w:rsid w:val="00BD3434"/>
    <w:rsid w:val="00BD72F6"/>
    <w:rsid w:val="00BD7467"/>
    <w:rsid w:val="00BF7478"/>
    <w:rsid w:val="00C0300D"/>
    <w:rsid w:val="00C06634"/>
    <w:rsid w:val="00C071E0"/>
    <w:rsid w:val="00C1034D"/>
    <w:rsid w:val="00C30AD5"/>
    <w:rsid w:val="00C33850"/>
    <w:rsid w:val="00C41DE0"/>
    <w:rsid w:val="00C514D2"/>
    <w:rsid w:val="00CA7A69"/>
    <w:rsid w:val="00CA7D42"/>
    <w:rsid w:val="00CB66C1"/>
    <w:rsid w:val="00D26783"/>
    <w:rsid w:val="00D40B73"/>
    <w:rsid w:val="00D52FFE"/>
    <w:rsid w:val="00D649FD"/>
    <w:rsid w:val="00D82890"/>
    <w:rsid w:val="00DD28F1"/>
    <w:rsid w:val="00DE20A0"/>
    <w:rsid w:val="00DE78D2"/>
    <w:rsid w:val="00E11CCF"/>
    <w:rsid w:val="00E132F4"/>
    <w:rsid w:val="00E15473"/>
    <w:rsid w:val="00E23FB0"/>
    <w:rsid w:val="00E324B2"/>
    <w:rsid w:val="00E70D9D"/>
    <w:rsid w:val="00EB3364"/>
    <w:rsid w:val="00EB4A5B"/>
    <w:rsid w:val="00EE25E2"/>
    <w:rsid w:val="00EE5BED"/>
    <w:rsid w:val="00F06029"/>
    <w:rsid w:val="00F27E42"/>
    <w:rsid w:val="00FA1F33"/>
    <w:rsid w:val="00FD37DE"/>
    <w:rsid w:val="00FE307C"/>
    <w:rsid w:val="00FE4353"/>
    <w:rsid w:val="07311000"/>
    <w:rsid w:val="1C98118A"/>
    <w:rsid w:val="1F0B58EE"/>
    <w:rsid w:val="4B6820A6"/>
    <w:rsid w:val="4C252E7A"/>
    <w:rsid w:val="67F40542"/>
    <w:rsid w:val="6DB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Times New Roman"/>
      <w:sz w:val="21"/>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5"/>
    <w:semiHidden/>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qFormat/>
    <w:uiPriority w:val="99"/>
    <w:rPr>
      <w:rFonts w:ascii="宋体" w:hAnsi="宋体" w:eastAsia="宋体" w:cs="Times New Roman"/>
      <w:kern w:val="0"/>
      <w:sz w:val="18"/>
      <w:szCs w:val="18"/>
    </w:rPr>
  </w:style>
  <w:style w:type="paragraph" w:styleId="13">
    <w:name w:val="List Paragraph"/>
    <w:basedOn w:val="1"/>
    <w:qFormat/>
    <w:uiPriority w:val="34"/>
    <w:pPr>
      <w:ind w:firstLine="420" w:firstLineChars="200"/>
    </w:pPr>
  </w:style>
  <w:style w:type="character" w:customStyle="1" w:styleId="14">
    <w:name w:val="日期 Char"/>
    <w:basedOn w:val="6"/>
    <w:link w:val="2"/>
    <w:semiHidden/>
    <w:qFormat/>
    <w:uiPriority w:val="99"/>
    <w:rPr>
      <w:rFonts w:ascii="宋体" w:hAnsi="宋体"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629</Words>
  <Characters>3588</Characters>
  <Lines>29</Lines>
  <Paragraphs>8</Paragraphs>
  <TotalTime>9</TotalTime>
  <ScaleCrop>false</ScaleCrop>
  <LinksUpToDate>false</LinksUpToDate>
  <CharactersWithSpaces>4209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2016-08-31T03:00:00Z</dcterms:created>
  <dc:creator>微软用户</dc:creator>
  <cp:lastModifiedBy>吴泳桦</cp:lastModifiedBy>
  <cp:lastPrinted>2018-03-09T06:24:00Z</cp:lastPrinted>
  <dcterms:modified xsi:type="dcterms:W3CDTF">2019-02-18T06:53:06Z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